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C0BD6" w14:textId="77777777" w:rsidR="00CC7C64" w:rsidRDefault="00000000">
      <w:pPr>
        <w:spacing w:after="0" w:line="240" w:lineRule="auto"/>
        <w:jc w:val="right"/>
        <w:rPr>
          <w:b/>
          <w:i/>
          <w:sz w:val="20"/>
          <w:szCs w:val="20"/>
        </w:rPr>
      </w:pPr>
      <w:r w:rsidRPr="00BD76F3">
        <w:rPr>
          <w:b/>
          <w:sz w:val="20"/>
          <w:szCs w:val="20"/>
        </w:rPr>
        <w:t xml:space="preserve">File: Application Form – WWC </w:t>
      </w:r>
      <w:proofErr w:type="gramStart"/>
      <w:r w:rsidRPr="00BD76F3">
        <w:rPr>
          <w:b/>
          <w:i/>
          <w:sz w:val="20"/>
          <w:szCs w:val="20"/>
        </w:rPr>
        <w:t>v.final</w:t>
      </w:r>
      <w:proofErr w:type="gramEnd"/>
      <w:r w:rsidRPr="00BD76F3">
        <w:rPr>
          <w:b/>
          <w:i/>
          <w:sz w:val="20"/>
          <w:szCs w:val="20"/>
        </w:rPr>
        <w:t>.09april</w:t>
      </w:r>
    </w:p>
    <w:p w14:paraId="7F0F01A8" w14:textId="77777777" w:rsidR="00CC7C64" w:rsidRDefault="00CC7C64">
      <w:pPr>
        <w:spacing w:after="0" w:line="240" w:lineRule="auto"/>
        <w:rPr>
          <w:sz w:val="24"/>
          <w:szCs w:val="24"/>
        </w:rPr>
      </w:pPr>
    </w:p>
    <w:p w14:paraId="338A4AFE" w14:textId="77777777" w:rsidR="00CC7C64" w:rsidRDefault="00CC7C64">
      <w:pPr>
        <w:spacing w:after="0" w:line="240" w:lineRule="auto"/>
        <w:rPr>
          <w:rFonts w:ascii="Arial" w:eastAsia="Arial" w:hAnsi="Arial" w:cs="Arial"/>
        </w:rPr>
      </w:pPr>
    </w:p>
    <w:p w14:paraId="5B6BB795" w14:textId="77777777" w:rsidR="00CC7C64" w:rsidRDefault="00CC7C64">
      <w:pPr>
        <w:spacing w:after="0" w:line="240" w:lineRule="auto"/>
        <w:rPr>
          <w:rFonts w:ascii="Arial" w:eastAsia="Arial" w:hAnsi="Arial" w:cs="Arial"/>
        </w:rPr>
      </w:pPr>
    </w:p>
    <w:p w14:paraId="4E6EA9A4" w14:textId="77777777" w:rsidR="00CC7C64" w:rsidRDefault="00000000">
      <w:pPr>
        <w:spacing w:after="0" w:line="240" w:lineRule="auto"/>
        <w:jc w:val="center"/>
        <w:rPr>
          <w:rFonts w:ascii="Arial" w:eastAsia="Arial" w:hAnsi="Arial" w:cs="Arial"/>
          <w:b/>
          <w:u w:val="single"/>
        </w:rPr>
      </w:pPr>
      <w:r>
        <w:rPr>
          <w:rFonts w:ascii="Arial" w:eastAsia="Arial" w:hAnsi="Arial" w:cs="Arial"/>
          <w:b/>
          <w:u w:val="single"/>
        </w:rPr>
        <w:t>WITSA World Cup Tournament Information</w:t>
      </w:r>
    </w:p>
    <w:p w14:paraId="066EE29B" w14:textId="77777777" w:rsidR="00CC7C64" w:rsidRDefault="00CC7C64">
      <w:pPr>
        <w:spacing w:after="0" w:line="240" w:lineRule="auto"/>
        <w:rPr>
          <w:rFonts w:ascii="Arial" w:eastAsia="Arial" w:hAnsi="Arial" w:cs="Arial"/>
        </w:rPr>
      </w:pPr>
    </w:p>
    <w:p w14:paraId="66F8089B" w14:textId="77777777" w:rsidR="00CC7C64" w:rsidRDefault="00CC7C64">
      <w:pPr>
        <w:spacing w:after="0" w:line="240" w:lineRule="auto"/>
        <w:rPr>
          <w:rFonts w:ascii="Arial" w:eastAsia="Arial" w:hAnsi="Arial" w:cs="Arial"/>
        </w:rPr>
      </w:pPr>
    </w:p>
    <w:p w14:paraId="546F1A45" w14:textId="77777777" w:rsidR="00CC7C64" w:rsidRDefault="00000000">
      <w:pPr>
        <w:spacing w:after="0" w:line="240" w:lineRule="auto"/>
        <w:rPr>
          <w:rFonts w:ascii="Arial" w:eastAsia="Arial" w:hAnsi="Arial" w:cs="Arial"/>
          <w:b/>
          <w:u w:val="single"/>
        </w:rPr>
      </w:pPr>
      <w:r>
        <w:rPr>
          <w:rFonts w:ascii="Arial" w:eastAsia="Arial" w:hAnsi="Arial" w:cs="Arial"/>
          <w:b/>
          <w:u w:val="single"/>
        </w:rPr>
        <w:t>Who Can Apply</w:t>
      </w:r>
    </w:p>
    <w:p w14:paraId="454F9B7D" w14:textId="77777777" w:rsidR="00CC7C64" w:rsidRDefault="00CC7C64">
      <w:pPr>
        <w:spacing w:after="0" w:line="240" w:lineRule="auto"/>
        <w:rPr>
          <w:rFonts w:ascii="Arial" w:eastAsia="Arial" w:hAnsi="Arial" w:cs="Arial"/>
        </w:rPr>
      </w:pPr>
    </w:p>
    <w:p w14:paraId="1A0CDCC2" w14:textId="77777777" w:rsidR="00CC7C64" w:rsidRDefault="00000000">
      <w:pPr>
        <w:spacing w:after="0" w:line="240" w:lineRule="auto"/>
        <w:rPr>
          <w:rFonts w:ascii="Arial" w:eastAsia="Arial" w:hAnsi="Arial" w:cs="Arial"/>
        </w:rPr>
      </w:pPr>
      <w:r>
        <w:rPr>
          <w:rFonts w:ascii="Arial" w:eastAsia="Arial" w:hAnsi="Arial" w:cs="Arial"/>
        </w:rPr>
        <w:t>Innovative Tech Scaleups in participating countries are encouraged to apply to the WITSA World Cup 2024. Applicants must progress through the National Selection Process, whereby two (2) top Scaleups will move up to the WITSA World Cup Global Finals at the WCIT 2024 in Yerevan, Armenia.</w:t>
      </w:r>
    </w:p>
    <w:p w14:paraId="7A7DC9DA" w14:textId="77777777" w:rsidR="00CC7C64" w:rsidRDefault="00000000">
      <w:pPr>
        <w:spacing w:before="280" w:after="280" w:line="240" w:lineRule="auto"/>
        <w:rPr>
          <w:rFonts w:ascii="Arial" w:eastAsia="Arial" w:hAnsi="Arial" w:cs="Arial"/>
        </w:rPr>
      </w:pPr>
      <w:r>
        <w:rPr>
          <w:rFonts w:ascii="Arial" w:eastAsia="Arial" w:hAnsi="Arial" w:cs="Arial"/>
        </w:rPr>
        <w:t xml:space="preserve">Key eligibility criteria for participating in the </w:t>
      </w:r>
      <w:r>
        <w:rPr>
          <w:rFonts w:ascii="Arial" w:eastAsia="Arial" w:hAnsi="Arial" w:cs="Arial"/>
          <w:b/>
        </w:rPr>
        <w:t>WITSA World Cup for Scaleups</w:t>
      </w:r>
      <w:r>
        <w:rPr>
          <w:rFonts w:ascii="Arial" w:eastAsia="Arial" w:hAnsi="Arial" w:cs="Arial"/>
        </w:rPr>
        <w:t>:</w:t>
      </w:r>
    </w:p>
    <w:p w14:paraId="46B5A60F" w14:textId="77777777" w:rsidR="00CC7C64" w:rsidRDefault="00000000">
      <w:pPr>
        <w:numPr>
          <w:ilvl w:val="0"/>
          <w:numId w:val="1"/>
        </w:numPr>
        <w:pBdr>
          <w:top w:val="nil"/>
          <w:left w:val="nil"/>
          <w:bottom w:val="nil"/>
          <w:right w:val="nil"/>
          <w:between w:val="nil"/>
        </w:pBdr>
        <w:spacing w:before="280" w:after="0" w:line="240" w:lineRule="auto"/>
        <w:rPr>
          <w:rFonts w:ascii="Aptos" w:eastAsia="Aptos" w:hAnsi="Aptos" w:cs="Aptos"/>
          <w:color w:val="000000"/>
        </w:rPr>
      </w:pPr>
      <w:r>
        <w:rPr>
          <w:rFonts w:ascii="Arial" w:eastAsia="Arial" w:hAnsi="Arial" w:cs="Arial"/>
          <w:b/>
          <w:color w:val="000000"/>
        </w:rPr>
        <w:t>Tech Scaleup Status</w:t>
      </w:r>
      <w:r>
        <w:rPr>
          <w:rFonts w:ascii="Arial" w:eastAsia="Arial" w:hAnsi="Arial" w:cs="Arial"/>
          <w:color w:val="000000"/>
        </w:rPr>
        <w:t>:</w:t>
      </w:r>
    </w:p>
    <w:p w14:paraId="41B05CA6"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Applicants must be </w:t>
      </w:r>
      <w:r>
        <w:rPr>
          <w:rFonts w:ascii="Arial" w:eastAsia="Arial" w:hAnsi="Arial" w:cs="Arial"/>
          <w:b/>
          <w:color w:val="000000"/>
        </w:rPr>
        <w:t>high-growth, innovative technology scaleups</w:t>
      </w:r>
      <w:r>
        <w:rPr>
          <w:rFonts w:ascii="Arial" w:eastAsia="Arial" w:hAnsi="Arial" w:cs="Arial"/>
          <w:color w:val="000000"/>
        </w:rPr>
        <w:t>.</w:t>
      </w:r>
    </w:p>
    <w:p w14:paraId="25DF25EC"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They should have achieved </w:t>
      </w:r>
      <w:r>
        <w:rPr>
          <w:rFonts w:ascii="Arial" w:eastAsia="Arial" w:hAnsi="Arial" w:cs="Arial"/>
          <w:b/>
          <w:color w:val="000000"/>
        </w:rPr>
        <w:t>product-market fit</w:t>
      </w:r>
      <w:r>
        <w:rPr>
          <w:rFonts w:ascii="Arial" w:eastAsia="Arial" w:hAnsi="Arial" w:cs="Arial"/>
          <w:color w:val="000000"/>
        </w:rPr>
        <w:t xml:space="preserve"> and be poised for expansion.</w:t>
      </w:r>
    </w:p>
    <w:p w14:paraId="7CBE8B7F"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Characteristics of a tech scaleup may include a </w:t>
      </w:r>
      <w:r>
        <w:rPr>
          <w:rFonts w:ascii="Arial" w:eastAsia="Arial" w:hAnsi="Arial" w:cs="Arial"/>
          <w:b/>
          <w:color w:val="000000"/>
        </w:rPr>
        <w:t>viable business model</w:t>
      </w:r>
      <w:r>
        <w:rPr>
          <w:rFonts w:ascii="Arial" w:eastAsia="Arial" w:hAnsi="Arial" w:cs="Arial"/>
          <w:color w:val="000000"/>
        </w:rPr>
        <w:t xml:space="preserve">, </w:t>
      </w:r>
      <w:r>
        <w:rPr>
          <w:rFonts w:ascii="Arial" w:eastAsia="Arial" w:hAnsi="Arial" w:cs="Arial"/>
          <w:b/>
          <w:color w:val="000000"/>
        </w:rPr>
        <w:t>scalable growth strategy</w:t>
      </w:r>
      <w:r>
        <w:rPr>
          <w:rFonts w:ascii="Arial" w:eastAsia="Arial" w:hAnsi="Arial" w:cs="Arial"/>
          <w:color w:val="000000"/>
        </w:rPr>
        <w:t xml:space="preserve">, and </w:t>
      </w:r>
      <w:r>
        <w:rPr>
          <w:rFonts w:ascii="Arial" w:eastAsia="Arial" w:hAnsi="Arial" w:cs="Arial"/>
          <w:b/>
          <w:color w:val="000000"/>
        </w:rPr>
        <w:t>demonstrable innovation</w:t>
      </w:r>
      <w:r>
        <w:rPr>
          <w:rFonts w:ascii="Arial" w:eastAsia="Arial" w:hAnsi="Arial" w:cs="Arial"/>
          <w:color w:val="000000"/>
        </w:rPr>
        <w:t>.</w:t>
      </w:r>
    </w:p>
    <w:p w14:paraId="34FA9341" w14:textId="77777777" w:rsidR="00CC7C64" w:rsidRDefault="00000000">
      <w:pPr>
        <w:numPr>
          <w:ilvl w:val="0"/>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b/>
          <w:color w:val="000000"/>
        </w:rPr>
        <w:t>Funding Stage</w:t>
      </w:r>
      <w:r>
        <w:rPr>
          <w:rFonts w:ascii="Arial" w:eastAsia="Arial" w:hAnsi="Arial" w:cs="Arial"/>
          <w:color w:val="000000"/>
        </w:rPr>
        <w:t>:</w:t>
      </w:r>
    </w:p>
    <w:p w14:paraId="0BEFF1DE"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Eligible participants should be at the </w:t>
      </w:r>
      <w:r>
        <w:rPr>
          <w:rFonts w:ascii="Arial" w:eastAsia="Arial" w:hAnsi="Arial" w:cs="Arial"/>
          <w:b/>
          <w:color w:val="000000"/>
        </w:rPr>
        <w:t>pre-Series A venture funding stage and above</w:t>
      </w:r>
      <w:r>
        <w:rPr>
          <w:rFonts w:ascii="Arial" w:eastAsia="Arial" w:hAnsi="Arial" w:cs="Arial"/>
          <w:color w:val="000000"/>
        </w:rPr>
        <w:t>.</w:t>
      </w:r>
    </w:p>
    <w:p w14:paraId="0F1E8F8B"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This includes companies that have not yet secured Series A funding but have successfully attracted </w:t>
      </w:r>
      <w:r>
        <w:rPr>
          <w:rFonts w:ascii="Arial" w:eastAsia="Arial" w:hAnsi="Arial" w:cs="Arial"/>
          <w:b/>
          <w:color w:val="000000"/>
        </w:rPr>
        <w:t>seed funding</w:t>
      </w:r>
      <w:r>
        <w:rPr>
          <w:rFonts w:ascii="Arial" w:eastAsia="Arial" w:hAnsi="Arial" w:cs="Arial"/>
          <w:color w:val="000000"/>
        </w:rPr>
        <w:t xml:space="preserve">, </w:t>
      </w:r>
      <w:r>
        <w:rPr>
          <w:rFonts w:ascii="Arial" w:eastAsia="Arial" w:hAnsi="Arial" w:cs="Arial"/>
          <w:b/>
          <w:color w:val="000000"/>
        </w:rPr>
        <w:t>angel investments</w:t>
      </w:r>
      <w:r>
        <w:rPr>
          <w:rFonts w:ascii="Arial" w:eastAsia="Arial" w:hAnsi="Arial" w:cs="Arial"/>
          <w:color w:val="000000"/>
        </w:rPr>
        <w:t>, or other pre-Series A funding sources.</w:t>
      </w:r>
    </w:p>
    <w:p w14:paraId="22757C53"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Additionally, companies that have received </w:t>
      </w:r>
      <w:r>
        <w:rPr>
          <w:rFonts w:ascii="Arial" w:eastAsia="Arial" w:hAnsi="Arial" w:cs="Arial"/>
          <w:b/>
          <w:color w:val="000000"/>
        </w:rPr>
        <w:t>Series A funding or higher</w:t>
      </w:r>
      <w:r>
        <w:rPr>
          <w:rFonts w:ascii="Arial" w:eastAsia="Arial" w:hAnsi="Arial" w:cs="Arial"/>
          <w:color w:val="000000"/>
        </w:rPr>
        <w:t xml:space="preserve"> are eligible to participate.</w:t>
      </w:r>
    </w:p>
    <w:p w14:paraId="102F31CE" w14:textId="77777777" w:rsidR="00CC7C64" w:rsidRDefault="00000000">
      <w:pPr>
        <w:numPr>
          <w:ilvl w:val="0"/>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b/>
          <w:color w:val="000000"/>
        </w:rPr>
        <w:t>Customer Traction and Revenue</w:t>
      </w:r>
      <w:r>
        <w:rPr>
          <w:rFonts w:ascii="Arial" w:eastAsia="Arial" w:hAnsi="Arial" w:cs="Arial"/>
          <w:color w:val="000000"/>
        </w:rPr>
        <w:t>:</w:t>
      </w:r>
    </w:p>
    <w:p w14:paraId="7D966168"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Tech scaleups should demonstrate </w:t>
      </w:r>
      <w:r>
        <w:rPr>
          <w:rFonts w:ascii="Arial" w:eastAsia="Arial" w:hAnsi="Arial" w:cs="Arial"/>
          <w:b/>
          <w:color w:val="000000"/>
        </w:rPr>
        <w:t>customer traction</w:t>
      </w:r>
      <w:r>
        <w:rPr>
          <w:rFonts w:ascii="Arial" w:eastAsia="Arial" w:hAnsi="Arial" w:cs="Arial"/>
          <w:color w:val="000000"/>
        </w:rPr>
        <w:t>.</w:t>
      </w:r>
    </w:p>
    <w:p w14:paraId="0D23CE1E"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They must exhibit </w:t>
      </w:r>
      <w:r>
        <w:rPr>
          <w:rFonts w:ascii="Arial" w:eastAsia="Arial" w:hAnsi="Arial" w:cs="Arial"/>
          <w:b/>
          <w:color w:val="000000"/>
        </w:rPr>
        <w:t>auditable annual revenue</w:t>
      </w:r>
      <w:r>
        <w:rPr>
          <w:rFonts w:ascii="Arial" w:eastAsia="Arial" w:hAnsi="Arial" w:cs="Arial"/>
          <w:color w:val="000000"/>
        </w:rPr>
        <w:t xml:space="preserve"> of at least </w:t>
      </w:r>
      <w:r>
        <w:rPr>
          <w:rFonts w:ascii="Arial" w:eastAsia="Arial" w:hAnsi="Arial" w:cs="Arial"/>
          <w:b/>
          <w:color w:val="000000"/>
        </w:rPr>
        <w:t>USD 100,000</w:t>
      </w:r>
      <w:r>
        <w:rPr>
          <w:rFonts w:ascii="Arial" w:eastAsia="Arial" w:hAnsi="Arial" w:cs="Arial"/>
          <w:color w:val="000000"/>
        </w:rPr>
        <w:t>.</w:t>
      </w:r>
    </w:p>
    <w:p w14:paraId="31A707C7" w14:textId="77777777" w:rsidR="00CC7C64" w:rsidRDefault="00000000">
      <w:pPr>
        <w:numPr>
          <w:ilvl w:val="1"/>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Revenue can come from product or service sales to customers, partnerships, or other revenue streams.</w:t>
      </w:r>
    </w:p>
    <w:p w14:paraId="6FE21D94" w14:textId="77777777" w:rsidR="00CC7C64" w:rsidRDefault="00000000">
      <w:pPr>
        <w:numPr>
          <w:ilvl w:val="0"/>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b/>
          <w:color w:val="000000"/>
        </w:rPr>
        <w:t>Industry Inclusivity</w:t>
      </w:r>
      <w:r>
        <w:rPr>
          <w:rFonts w:ascii="Arial" w:eastAsia="Arial" w:hAnsi="Arial" w:cs="Arial"/>
          <w:color w:val="000000"/>
        </w:rPr>
        <w:t>:</w:t>
      </w:r>
    </w:p>
    <w:p w14:paraId="5095B11F"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The competition is open to </w:t>
      </w:r>
      <w:r>
        <w:rPr>
          <w:rFonts w:ascii="Arial" w:eastAsia="Arial" w:hAnsi="Arial" w:cs="Arial"/>
          <w:b/>
          <w:color w:val="000000"/>
        </w:rPr>
        <w:t>Tech Scaleups across all industries</w:t>
      </w:r>
      <w:r>
        <w:rPr>
          <w:rFonts w:ascii="Arial" w:eastAsia="Arial" w:hAnsi="Arial" w:cs="Arial"/>
          <w:color w:val="000000"/>
        </w:rPr>
        <w:t xml:space="preserve">, including AI, fintech, </w:t>
      </w:r>
      <w:proofErr w:type="spellStart"/>
      <w:r>
        <w:rPr>
          <w:rFonts w:ascii="Arial" w:eastAsia="Arial" w:hAnsi="Arial" w:cs="Arial"/>
          <w:color w:val="000000"/>
        </w:rPr>
        <w:t>healthtech</w:t>
      </w:r>
      <w:proofErr w:type="spellEnd"/>
      <w:r>
        <w:rPr>
          <w:rFonts w:ascii="Arial" w:eastAsia="Arial" w:hAnsi="Arial" w:cs="Arial"/>
          <w:color w:val="000000"/>
        </w:rPr>
        <w:t xml:space="preserve">, edtech, </w:t>
      </w:r>
      <w:proofErr w:type="spellStart"/>
      <w:r>
        <w:rPr>
          <w:rFonts w:ascii="Arial" w:eastAsia="Arial" w:hAnsi="Arial" w:cs="Arial"/>
          <w:color w:val="000000"/>
        </w:rPr>
        <w:t>agtech</w:t>
      </w:r>
      <w:proofErr w:type="spellEnd"/>
      <w:r>
        <w:rPr>
          <w:rFonts w:ascii="Arial" w:eastAsia="Arial" w:hAnsi="Arial" w:cs="Arial"/>
          <w:color w:val="000000"/>
        </w:rPr>
        <w:t>, smart city solutions and others.</w:t>
      </w:r>
    </w:p>
    <w:p w14:paraId="19B8E3EE" w14:textId="77777777" w:rsidR="00CC7C64" w:rsidRDefault="00000000">
      <w:pPr>
        <w:numPr>
          <w:ilvl w:val="0"/>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b/>
          <w:color w:val="000000"/>
        </w:rPr>
        <w:t>Registration</w:t>
      </w:r>
      <w:r>
        <w:rPr>
          <w:rFonts w:ascii="Arial" w:eastAsia="Arial" w:hAnsi="Arial" w:cs="Arial"/>
          <w:color w:val="000000"/>
        </w:rPr>
        <w:t>:</w:t>
      </w:r>
    </w:p>
    <w:p w14:paraId="650CE9FD"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The Tech Scaleup should be </w:t>
      </w:r>
      <w:r>
        <w:rPr>
          <w:rFonts w:ascii="Arial" w:eastAsia="Arial" w:hAnsi="Arial" w:cs="Arial"/>
          <w:b/>
          <w:color w:val="000000"/>
        </w:rPr>
        <w:t>registered in the country</w:t>
      </w:r>
      <w:r>
        <w:rPr>
          <w:rFonts w:ascii="Arial" w:eastAsia="Arial" w:hAnsi="Arial" w:cs="Arial"/>
          <w:color w:val="000000"/>
        </w:rPr>
        <w:t xml:space="preserve"> they are applying </w:t>
      </w:r>
      <w:r>
        <w:rPr>
          <w:rFonts w:ascii="Arial" w:eastAsia="Arial" w:hAnsi="Arial" w:cs="Arial"/>
        </w:rPr>
        <w:t>for selection at the National Level</w:t>
      </w:r>
      <w:r>
        <w:rPr>
          <w:rFonts w:ascii="Arial" w:eastAsia="Arial" w:hAnsi="Arial" w:cs="Arial"/>
          <w:color w:val="000000"/>
        </w:rPr>
        <w:t>.</w:t>
      </w:r>
    </w:p>
    <w:p w14:paraId="3B798885" w14:textId="77777777" w:rsidR="00CC7C64" w:rsidRDefault="00000000">
      <w:pPr>
        <w:numPr>
          <w:ilvl w:val="0"/>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b/>
          <w:color w:val="000000"/>
        </w:rPr>
        <w:t>Language of Competition</w:t>
      </w:r>
      <w:r>
        <w:rPr>
          <w:rFonts w:ascii="Arial" w:eastAsia="Arial" w:hAnsi="Arial" w:cs="Arial"/>
          <w:color w:val="000000"/>
        </w:rPr>
        <w:t>:</w:t>
      </w:r>
    </w:p>
    <w:p w14:paraId="40772897"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b/>
          <w:color w:val="000000"/>
        </w:rPr>
        <w:t>Scaleups competing in the Global Finals</w:t>
      </w:r>
      <w:r>
        <w:rPr>
          <w:rFonts w:ascii="Arial" w:eastAsia="Arial" w:hAnsi="Arial" w:cs="Arial"/>
          <w:color w:val="000000"/>
        </w:rPr>
        <w:t xml:space="preserve"> will be </w:t>
      </w:r>
      <w:r>
        <w:rPr>
          <w:rFonts w:ascii="Arial" w:eastAsia="Arial" w:hAnsi="Arial" w:cs="Arial"/>
          <w:b/>
          <w:color w:val="000000"/>
        </w:rPr>
        <w:t>required to compete in English</w:t>
      </w:r>
      <w:r>
        <w:rPr>
          <w:rFonts w:ascii="Arial" w:eastAsia="Arial" w:hAnsi="Arial" w:cs="Arial"/>
          <w:color w:val="000000"/>
        </w:rPr>
        <w:t>.</w:t>
      </w:r>
    </w:p>
    <w:p w14:paraId="365CED44" w14:textId="77777777" w:rsidR="00CC7C64" w:rsidRDefault="00000000">
      <w:pPr>
        <w:numPr>
          <w:ilvl w:val="0"/>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b/>
          <w:color w:val="000000"/>
        </w:rPr>
        <w:t>Logistics Responsibility</w:t>
      </w:r>
      <w:r>
        <w:rPr>
          <w:rFonts w:ascii="Arial" w:eastAsia="Arial" w:hAnsi="Arial" w:cs="Arial"/>
          <w:color w:val="000000"/>
        </w:rPr>
        <w:t>:</w:t>
      </w:r>
    </w:p>
    <w:p w14:paraId="26071D53"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All </w:t>
      </w:r>
      <w:r>
        <w:rPr>
          <w:rFonts w:ascii="Arial" w:eastAsia="Arial" w:hAnsi="Arial" w:cs="Arial"/>
          <w:b/>
          <w:color w:val="000000"/>
        </w:rPr>
        <w:t>Tech Scaleups competing in the Global Finals</w:t>
      </w:r>
      <w:r>
        <w:rPr>
          <w:rFonts w:ascii="Arial" w:eastAsia="Arial" w:hAnsi="Arial" w:cs="Arial"/>
          <w:color w:val="000000"/>
        </w:rPr>
        <w:t xml:space="preserve"> are </w:t>
      </w:r>
      <w:r>
        <w:rPr>
          <w:rFonts w:ascii="Arial" w:eastAsia="Arial" w:hAnsi="Arial" w:cs="Arial"/>
          <w:b/>
          <w:color w:val="000000"/>
        </w:rPr>
        <w:t>responsible for their own logistics</w:t>
      </w:r>
      <w:r>
        <w:rPr>
          <w:rFonts w:ascii="Arial" w:eastAsia="Arial" w:hAnsi="Arial" w:cs="Arial"/>
          <w:color w:val="000000"/>
        </w:rPr>
        <w:t xml:space="preserve">, including </w:t>
      </w:r>
      <w:r>
        <w:rPr>
          <w:rFonts w:ascii="Arial" w:eastAsia="Arial" w:hAnsi="Arial" w:cs="Arial"/>
          <w:b/>
          <w:color w:val="000000"/>
        </w:rPr>
        <w:t>travel and accommodations</w:t>
      </w:r>
      <w:r>
        <w:rPr>
          <w:rFonts w:ascii="Arial" w:eastAsia="Arial" w:hAnsi="Arial" w:cs="Arial"/>
          <w:color w:val="000000"/>
        </w:rPr>
        <w:t>.</w:t>
      </w:r>
    </w:p>
    <w:p w14:paraId="79FCC7E6"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However, they will </w:t>
      </w:r>
      <w:r>
        <w:rPr>
          <w:rFonts w:ascii="Arial" w:eastAsia="Arial" w:hAnsi="Arial" w:cs="Arial"/>
          <w:b/>
          <w:color w:val="000000"/>
        </w:rPr>
        <w:t>receive limited free access</w:t>
      </w:r>
      <w:r>
        <w:rPr>
          <w:rFonts w:ascii="Arial" w:eastAsia="Arial" w:hAnsi="Arial" w:cs="Arial"/>
          <w:color w:val="000000"/>
        </w:rPr>
        <w:t xml:space="preserve"> to attend and pitch at the </w:t>
      </w:r>
      <w:r>
        <w:rPr>
          <w:rFonts w:ascii="Arial" w:eastAsia="Arial" w:hAnsi="Arial" w:cs="Arial"/>
          <w:b/>
          <w:color w:val="000000"/>
        </w:rPr>
        <w:t>World Congress on Information Technology (WCIT)</w:t>
      </w:r>
      <w:r>
        <w:rPr>
          <w:rFonts w:ascii="Arial" w:eastAsia="Arial" w:hAnsi="Arial" w:cs="Arial"/>
          <w:color w:val="000000"/>
        </w:rPr>
        <w:t>.</w:t>
      </w:r>
    </w:p>
    <w:p w14:paraId="718DBF15"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lastRenderedPageBreak/>
        <w:t xml:space="preserve">The </w:t>
      </w:r>
      <w:r>
        <w:rPr>
          <w:rFonts w:ascii="Arial" w:eastAsia="Arial" w:hAnsi="Arial" w:cs="Arial"/>
          <w:b/>
          <w:color w:val="000000"/>
        </w:rPr>
        <w:t>Winning National Scaleups</w:t>
      </w:r>
      <w:r>
        <w:rPr>
          <w:rFonts w:ascii="Arial" w:eastAsia="Arial" w:hAnsi="Arial" w:cs="Arial"/>
          <w:color w:val="000000"/>
        </w:rPr>
        <w:t xml:space="preserve"> may collaborate with the WIT</w:t>
      </w:r>
      <w:r>
        <w:rPr>
          <w:rFonts w:ascii="Arial" w:eastAsia="Arial" w:hAnsi="Arial" w:cs="Arial"/>
        </w:rPr>
        <w:t>SA Country H</w:t>
      </w:r>
      <w:r>
        <w:rPr>
          <w:rFonts w:ascii="Arial" w:eastAsia="Arial" w:hAnsi="Arial" w:cs="Arial"/>
          <w:color w:val="000000"/>
        </w:rPr>
        <w:t xml:space="preserve">osts to </w:t>
      </w:r>
      <w:r>
        <w:rPr>
          <w:rFonts w:ascii="Arial" w:eastAsia="Arial" w:hAnsi="Arial" w:cs="Arial"/>
          <w:b/>
          <w:color w:val="000000"/>
        </w:rPr>
        <w:t>raise sponsorship/funding</w:t>
      </w:r>
      <w:r>
        <w:rPr>
          <w:rFonts w:ascii="Arial" w:eastAsia="Arial" w:hAnsi="Arial" w:cs="Arial"/>
          <w:color w:val="000000"/>
        </w:rPr>
        <w:t xml:space="preserve"> to attend the Global Finals.</w:t>
      </w:r>
    </w:p>
    <w:p w14:paraId="65E884A2" w14:textId="77777777" w:rsidR="00CC7C64" w:rsidRDefault="00000000">
      <w:pPr>
        <w:numPr>
          <w:ilvl w:val="1"/>
          <w:numId w:val="1"/>
        </w:numPr>
        <w:pBdr>
          <w:top w:val="nil"/>
          <w:left w:val="nil"/>
          <w:bottom w:val="nil"/>
          <w:right w:val="nil"/>
          <w:between w:val="nil"/>
        </w:pBdr>
        <w:spacing w:after="0" w:line="240" w:lineRule="auto"/>
        <w:rPr>
          <w:rFonts w:ascii="Aptos" w:eastAsia="Aptos" w:hAnsi="Aptos" w:cs="Aptos"/>
          <w:color w:val="000000"/>
        </w:rPr>
      </w:pPr>
      <w:r>
        <w:rPr>
          <w:rFonts w:ascii="Arial" w:eastAsia="Arial" w:hAnsi="Arial" w:cs="Arial"/>
          <w:color w:val="000000"/>
        </w:rPr>
        <w:t xml:space="preserve">Alternatively, they can choose to </w:t>
      </w:r>
      <w:r>
        <w:rPr>
          <w:rFonts w:ascii="Arial" w:eastAsia="Arial" w:hAnsi="Arial" w:cs="Arial"/>
          <w:b/>
          <w:color w:val="000000"/>
        </w:rPr>
        <w:t>self-fund</w:t>
      </w:r>
      <w:r>
        <w:rPr>
          <w:rFonts w:ascii="Arial" w:eastAsia="Arial" w:hAnsi="Arial" w:cs="Arial"/>
          <w:color w:val="000000"/>
        </w:rPr>
        <w:t xml:space="preserve"> their participation.</w:t>
      </w:r>
    </w:p>
    <w:p w14:paraId="24352C5F" w14:textId="77777777" w:rsidR="00CC7C64" w:rsidRDefault="00CC7C64">
      <w:pPr>
        <w:pBdr>
          <w:top w:val="nil"/>
          <w:left w:val="nil"/>
          <w:bottom w:val="nil"/>
          <w:right w:val="nil"/>
          <w:between w:val="nil"/>
        </w:pBdr>
        <w:spacing w:after="280" w:line="240" w:lineRule="auto"/>
        <w:ind w:left="1440"/>
        <w:rPr>
          <w:rFonts w:ascii="Arial" w:eastAsia="Arial" w:hAnsi="Arial" w:cs="Arial"/>
          <w:color w:val="000000"/>
        </w:rPr>
      </w:pPr>
    </w:p>
    <w:p w14:paraId="26F3F31C" w14:textId="77777777" w:rsidR="00CC7C64" w:rsidRDefault="00000000">
      <w:pPr>
        <w:spacing w:before="280" w:after="280" w:line="240" w:lineRule="auto"/>
        <w:rPr>
          <w:rFonts w:ascii="Arial" w:eastAsia="Arial" w:hAnsi="Arial" w:cs="Arial"/>
          <w:b/>
          <w:u w:val="single"/>
        </w:rPr>
        <w:sectPr w:rsidR="00CC7C64">
          <w:headerReference w:type="default" r:id="rId8"/>
          <w:footerReference w:type="default" r:id="rId9"/>
          <w:pgSz w:w="12240" w:h="15840"/>
          <w:pgMar w:top="1440" w:right="1440" w:bottom="1440" w:left="1440" w:header="708" w:footer="708" w:gutter="0"/>
          <w:cols w:space="720"/>
        </w:sectPr>
      </w:pPr>
      <w:r>
        <w:rPr>
          <w:rFonts w:ascii="Arial" w:eastAsia="Arial" w:hAnsi="Arial" w:cs="Arial"/>
          <w:b/>
          <w:u w:val="single"/>
        </w:rPr>
        <w:t>Participating Countries/Economies for the WITSA World Cup 2024 are:</w:t>
      </w:r>
    </w:p>
    <w:p w14:paraId="77C22E4B" w14:textId="77777777" w:rsidR="00CC7C64" w:rsidRDefault="00000000">
      <w:pPr>
        <w:numPr>
          <w:ilvl w:val="0"/>
          <w:numId w:val="2"/>
        </w:numPr>
        <w:spacing w:before="60" w:after="0" w:line="240" w:lineRule="auto"/>
        <w:ind w:left="500"/>
        <w:rPr>
          <w:rFonts w:ascii="Arial" w:eastAsia="Arial" w:hAnsi="Arial" w:cs="Arial"/>
          <w:color w:val="000000"/>
        </w:rPr>
      </w:pPr>
      <w:r>
        <w:rPr>
          <w:rFonts w:ascii="Arial" w:eastAsia="Arial" w:hAnsi="Arial" w:cs="Arial"/>
          <w:color w:val="000000"/>
        </w:rPr>
        <w:t>Argentina</w:t>
      </w:r>
    </w:p>
    <w:p w14:paraId="6F76EB21"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Armenia (Host) </w:t>
      </w:r>
    </w:p>
    <w:p w14:paraId="402742CE"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Australia </w:t>
      </w:r>
    </w:p>
    <w:p w14:paraId="3D3AAF61"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Bahrain </w:t>
      </w:r>
    </w:p>
    <w:p w14:paraId="0F66EE37"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Brazil</w:t>
      </w:r>
    </w:p>
    <w:p w14:paraId="7ACD5C83"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CISA-Taiwan </w:t>
      </w:r>
    </w:p>
    <w:p w14:paraId="3363180F"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Egypt</w:t>
      </w:r>
    </w:p>
    <w:p w14:paraId="7B9EC4B2"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Greece</w:t>
      </w:r>
    </w:p>
    <w:p w14:paraId="14ECEB49"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Jordan</w:t>
      </w:r>
    </w:p>
    <w:p w14:paraId="600B047E"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Malaysia </w:t>
      </w:r>
    </w:p>
    <w:p w14:paraId="21B83FB9"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Moldova</w:t>
      </w:r>
    </w:p>
    <w:p w14:paraId="34716FE7"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Myanmar </w:t>
      </w:r>
    </w:p>
    <w:p w14:paraId="7EDEC6A2"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Nepal </w:t>
      </w:r>
    </w:p>
    <w:p w14:paraId="43772D43"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Romania </w:t>
      </w:r>
    </w:p>
    <w:p w14:paraId="4E103948" w14:textId="77777777" w:rsidR="00CC7C64" w:rsidRDefault="00000000">
      <w:pPr>
        <w:numPr>
          <w:ilvl w:val="0"/>
          <w:numId w:val="2"/>
        </w:numPr>
        <w:spacing w:before="80" w:after="0" w:line="240" w:lineRule="auto"/>
        <w:ind w:left="500"/>
        <w:rPr>
          <w:rFonts w:ascii="Arial" w:eastAsia="Arial" w:hAnsi="Arial" w:cs="Arial"/>
          <w:color w:val="000000"/>
        </w:rPr>
      </w:pPr>
      <w:r>
        <w:rPr>
          <w:rFonts w:ascii="Arial" w:eastAsia="Arial" w:hAnsi="Arial" w:cs="Arial"/>
          <w:color w:val="000000"/>
        </w:rPr>
        <w:t>South Africa</w:t>
      </w:r>
    </w:p>
    <w:p w14:paraId="5F72661B" w14:textId="77777777" w:rsidR="00CC7C64" w:rsidRDefault="00000000">
      <w:pPr>
        <w:numPr>
          <w:ilvl w:val="0"/>
          <w:numId w:val="2"/>
        </w:numPr>
        <w:spacing w:before="80" w:after="0" w:line="240" w:lineRule="auto"/>
        <w:ind w:left="500"/>
        <w:rPr>
          <w:rFonts w:ascii="Arial" w:eastAsia="Arial" w:hAnsi="Arial" w:cs="Arial"/>
          <w:color w:val="000000"/>
        </w:rPr>
        <w:sectPr w:rsidR="00CC7C64">
          <w:type w:val="continuous"/>
          <w:pgSz w:w="12240" w:h="15840"/>
          <w:pgMar w:top="1440" w:right="1440" w:bottom="1440" w:left="1440" w:header="708" w:footer="708" w:gutter="0"/>
          <w:cols w:num="2" w:space="720" w:equalWidth="0">
            <w:col w:w="4326" w:space="708"/>
            <w:col w:w="4326" w:space="0"/>
          </w:cols>
        </w:sectPr>
      </w:pPr>
      <w:r>
        <w:rPr>
          <w:rFonts w:ascii="Arial" w:eastAsia="Arial" w:hAnsi="Arial" w:cs="Arial"/>
          <w:color w:val="000000"/>
        </w:rPr>
        <w:t>USA</w:t>
      </w:r>
    </w:p>
    <w:p w14:paraId="42C409AD" w14:textId="77777777" w:rsidR="00CC7C64" w:rsidRDefault="00000000">
      <w:pPr>
        <w:spacing w:before="280" w:after="280" w:line="240" w:lineRule="auto"/>
        <w:rPr>
          <w:rFonts w:ascii="Arial" w:eastAsia="Arial" w:hAnsi="Arial" w:cs="Arial"/>
        </w:rPr>
      </w:pPr>
      <w:r>
        <w:rPr>
          <w:rFonts w:ascii="Arial" w:eastAsia="Arial" w:hAnsi="Arial" w:cs="Arial"/>
        </w:rPr>
        <w:t xml:space="preserve">Tournament Pools are found </w:t>
      </w:r>
      <w:hyperlink r:id="rId10">
        <w:r>
          <w:rPr>
            <w:rFonts w:ascii="Arial" w:eastAsia="Arial" w:hAnsi="Arial" w:cs="Arial"/>
            <w:color w:val="1155CC"/>
            <w:u w:val="single"/>
          </w:rPr>
          <w:t>here</w:t>
        </w:r>
      </w:hyperlink>
      <w:r>
        <w:rPr>
          <w:rFonts w:ascii="Arial" w:eastAsia="Arial" w:hAnsi="Arial" w:cs="Arial"/>
        </w:rPr>
        <w:t>.</w:t>
      </w:r>
    </w:p>
    <w:p w14:paraId="75B412F4" w14:textId="77777777" w:rsidR="00CC7C64" w:rsidRDefault="00CC7C64">
      <w:pPr>
        <w:spacing w:after="0" w:line="240" w:lineRule="auto"/>
        <w:rPr>
          <w:rFonts w:ascii="Arial" w:eastAsia="Arial" w:hAnsi="Arial" w:cs="Arial"/>
        </w:rPr>
      </w:pPr>
    </w:p>
    <w:p w14:paraId="18480411" w14:textId="77777777" w:rsidR="00CC7C64" w:rsidRDefault="00CC7C64">
      <w:pPr>
        <w:spacing w:after="0" w:line="240" w:lineRule="auto"/>
        <w:rPr>
          <w:rFonts w:ascii="Arial" w:eastAsia="Arial" w:hAnsi="Arial" w:cs="Arial"/>
        </w:rPr>
      </w:pPr>
    </w:p>
    <w:p w14:paraId="1DD0C988" w14:textId="77777777" w:rsidR="00CC7C64" w:rsidRDefault="00000000">
      <w:pPr>
        <w:spacing w:after="0" w:line="240" w:lineRule="auto"/>
        <w:rPr>
          <w:rFonts w:ascii="Arial" w:eastAsia="Arial" w:hAnsi="Arial" w:cs="Arial"/>
          <w:b/>
          <w:u w:val="single"/>
        </w:rPr>
      </w:pPr>
      <w:r>
        <w:rPr>
          <w:rFonts w:ascii="Arial" w:eastAsia="Arial" w:hAnsi="Arial" w:cs="Arial"/>
          <w:b/>
          <w:u w:val="single"/>
        </w:rPr>
        <w:t>Timeline</w:t>
      </w:r>
    </w:p>
    <w:p w14:paraId="6DD03993" w14:textId="77777777" w:rsidR="00CC7C64" w:rsidRDefault="00CC7C64">
      <w:pPr>
        <w:spacing w:after="0" w:line="240" w:lineRule="auto"/>
        <w:rPr>
          <w:rFonts w:ascii="Arial" w:eastAsia="Arial" w:hAnsi="Arial" w:cs="Arial"/>
        </w:rPr>
      </w:pPr>
    </w:p>
    <w:p w14:paraId="683DAE11" w14:textId="77777777" w:rsidR="00CC7C64" w:rsidRDefault="00000000">
      <w:pPr>
        <w:spacing w:after="0" w:line="240" w:lineRule="auto"/>
        <w:rPr>
          <w:rFonts w:ascii="Arial" w:eastAsia="Arial" w:hAnsi="Arial" w:cs="Arial"/>
        </w:rPr>
      </w:pPr>
      <w:r>
        <w:rPr>
          <w:rFonts w:ascii="Arial" w:eastAsia="Arial" w:hAnsi="Arial" w:cs="Arial"/>
        </w:rPr>
        <w:t>The WITSA World Cup 2024 has the following Timeline:</w:t>
      </w:r>
    </w:p>
    <w:p w14:paraId="214BB126" w14:textId="77777777" w:rsidR="00CC7C64" w:rsidRDefault="00CC7C64">
      <w:pPr>
        <w:spacing w:after="0" w:line="240" w:lineRule="auto"/>
        <w:rPr>
          <w:rFonts w:ascii="Arial" w:eastAsia="Arial" w:hAnsi="Arial" w:cs="Arial"/>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094"/>
      </w:tblGrid>
      <w:tr w:rsidR="00CC7C64" w14:paraId="6A8467E3" w14:textId="77777777">
        <w:tc>
          <w:tcPr>
            <w:tcW w:w="3256" w:type="dxa"/>
          </w:tcPr>
          <w:p w14:paraId="6FD7B2A7" w14:textId="77777777" w:rsidR="00CC7C64" w:rsidRDefault="00000000">
            <w:pPr>
              <w:rPr>
                <w:rFonts w:ascii="Arial" w:eastAsia="Arial" w:hAnsi="Arial" w:cs="Arial"/>
              </w:rPr>
            </w:pPr>
            <w:r>
              <w:rPr>
                <w:rFonts w:ascii="Arial" w:eastAsia="Arial" w:hAnsi="Arial" w:cs="Arial"/>
              </w:rPr>
              <w:t>April – August 2024</w:t>
            </w:r>
          </w:p>
        </w:tc>
        <w:tc>
          <w:tcPr>
            <w:tcW w:w="6094" w:type="dxa"/>
          </w:tcPr>
          <w:p w14:paraId="40EDA52F" w14:textId="77777777" w:rsidR="00CC7C64" w:rsidRDefault="00000000">
            <w:pPr>
              <w:rPr>
                <w:rFonts w:ascii="Arial" w:eastAsia="Arial" w:hAnsi="Arial" w:cs="Arial"/>
              </w:rPr>
            </w:pPr>
            <w:r>
              <w:rPr>
                <w:rFonts w:ascii="Arial" w:eastAsia="Arial" w:hAnsi="Arial" w:cs="Arial"/>
              </w:rPr>
              <w:t>National Applications and Selections</w:t>
            </w:r>
          </w:p>
          <w:p w14:paraId="77E6C0EE" w14:textId="77777777" w:rsidR="00CC7C64" w:rsidRDefault="00CC7C64">
            <w:pPr>
              <w:rPr>
                <w:rFonts w:ascii="Arial" w:eastAsia="Arial" w:hAnsi="Arial" w:cs="Arial"/>
              </w:rPr>
            </w:pPr>
          </w:p>
        </w:tc>
      </w:tr>
      <w:tr w:rsidR="00CC7C64" w14:paraId="08F908FC" w14:textId="77777777">
        <w:tc>
          <w:tcPr>
            <w:tcW w:w="3256" w:type="dxa"/>
          </w:tcPr>
          <w:p w14:paraId="7492725D" w14:textId="77777777" w:rsidR="00CC7C64" w:rsidRDefault="00000000">
            <w:pPr>
              <w:rPr>
                <w:rFonts w:ascii="Arial" w:eastAsia="Arial" w:hAnsi="Arial" w:cs="Arial"/>
              </w:rPr>
            </w:pPr>
            <w:r>
              <w:rPr>
                <w:rFonts w:ascii="Arial" w:eastAsia="Arial" w:hAnsi="Arial" w:cs="Arial"/>
              </w:rPr>
              <w:t>May 15, 2024</w:t>
            </w:r>
          </w:p>
        </w:tc>
        <w:tc>
          <w:tcPr>
            <w:tcW w:w="6094" w:type="dxa"/>
          </w:tcPr>
          <w:p w14:paraId="313A4023" w14:textId="77777777" w:rsidR="00CC7C64" w:rsidRDefault="00000000">
            <w:pPr>
              <w:rPr>
                <w:rFonts w:ascii="Arial" w:eastAsia="Arial" w:hAnsi="Arial" w:cs="Arial"/>
              </w:rPr>
            </w:pPr>
            <w:r>
              <w:rPr>
                <w:rFonts w:ascii="Arial" w:eastAsia="Arial" w:hAnsi="Arial" w:cs="Arial"/>
              </w:rPr>
              <w:t>International Match Day – Special WITSA World Cup Edition</w:t>
            </w:r>
          </w:p>
          <w:p w14:paraId="22BB5D5A" w14:textId="77777777" w:rsidR="00CC7C64" w:rsidRDefault="00CC7C64">
            <w:pPr>
              <w:rPr>
                <w:rFonts w:ascii="Arial" w:eastAsia="Arial" w:hAnsi="Arial" w:cs="Arial"/>
              </w:rPr>
            </w:pPr>
          </w:p>
        </w:tc>
      </w:tr>
      <w:tr w:rsidR="00CC7C64" w14:paraId="37081800" w14:textId="77777777">
        <w:tc>
          <w:tcPr>
            <w:tcW w:w="3256" w:type="dxa"/>
          </w:tcPr>
          <w:p w14:paraId="54DA635E" w14:textId="77777777" w:rsidR="00CC7C64" w:rsidRDefault="00000000">
            <w:pPr>
              <w:rPr>
                <w:rFonts w:ascii="Arial" w:eastAsia="Arial" w:hAnsi="Arial" w:cs="Arial"/>
              </w:rPr>
            </w:pPr>
            <w:r>
              <w:rPr>
                <w:rFonts w:ascii="Arial" w:eastAsia="Arial" w:hAnsi="Arial" w:cs="Arial"/>
              </w:rPr>
              <w:t>September 2024</w:t>
            </w:r>
          </w:p>
        </w:tc>
        <w:tc>
          <w:tcPr>
            <w:tcW w:w="6094" w:type="dxa"/>
          </w:tcPr>
          <w:p w14:paraId="5922F359" w14:textId="77777777" w:rsidR="00CC7C64" w:rsidRDefault="00000000">
            <w:pPr>
              <w:rPr>
                <w:rFonts w:ascii="Arial" w:eastAsia="Arial" w:hAnsi="Arial" w:cs="Arial"/>
              </w:rPr>
            </w:pPr>
            <w:r>
              <w:rPr>
                <w:rFonts w:ascii="Arial" w:eastAsia="Arial" w:hAnsi="Arial" w:cs="Arial"/>
              </w:rPr>
              <w:t>National Winners Workshop</w:t>
            </w:r>
          </w:p>
          <w:p w14:paraId="2CDE943F" w14:textId="77777777" w:rsidR="00CC7C64" w:rsidRDefault="00000000">
            <w:pPr>
              <w:rPr>
                <w:rFonts w:ascii="Arial" w:eastAsia="Arial" w:hAnsi="Arial" w:cs="Arial"/>
              </w:rPr>
            </w:pPr>
            <w:r>
              <w:rPr>
                <w:rFonts w:ascii="Arial" w:eastAsia="Arial" w:hAnsi="Arial" w:cs="Arial"/>
              </w:rPr>
              <w:t>Preparation for WITSA World Cup Global finals</w:t>
            </w:r>
          </w:p>
          <w:p w14:paraId="71E9F27A" w14:textId="77777777" w:rsidR="00CC7C64" w:rsidRDefault="00CC7C64">
            <w:pPr>
              <w:rPr>
                <w:rFonts w:ascii="Arial" w:eastAsia="Arial" w:hAnsi="Arial" w:cs="Arial"/>
              </w:rPr>
            </w:pPr>
          </w:p>
        </w:tc>
      </w:tr>
      <w:tr w:rsidR="00CC7C64" w14:paraId="56FBF7C0" w14:textId="77777777">
        <w:tc>
          <w:tcPr>
            <w:tcW w:w="3256" w:type="dxa"/>
          </w:tcPr>
          <w:p w14:paraId="4C8D7E35" w14:textId="77777777" w:rsidR="00CC7C64" w:rsidRDefault="00000000">
            <w:pPr>
              <w:rPr>
                <w:rFonts w:ascii="Arial" w:eastAsia="Arial" w:hAnsi="Arial" w:cs="Arial"/>
              </w:rPr>
            </w:pPr>
            <w:r>
              <w:rPr>
                <w:rFonts w:ascii="Arial" w:eastAsia="Arial" w:hAnsi="Arial" w:cs="Arial"/>
              </w:rPr>
              <w:t>October 4-7, 2024</w:t>
            </w:r>
          </w:p>
        </w:tc>
        <w:tc>
          <w:tcPr>
            <w:tcW w:w="6094" w:type="dxa"/>
          </w:tcPr>
          <w:p w14:paraId="6B2F98A9" w14:textId="77777777" w:rsidR="00CC7C64" w:rsidRDefault="00000000">
            <w:pPr>
              <w:rPr>
                <w:rFonts w:ascii="Arial" w:eastAsia="Arial" w:hAnsi="Arial" w:cs="Arial"/>
              </w:rPr>
            </w:pPr>
            <w:r>
              <w:rPr>
                <w:rFonts w:ascii="Arial" w:eastAsia="Arial" w:hAnsi="Arial" w:cs="Arial"/>
              </w:rPr>
              <w:t>WITSA World Cup Global Finals at the WCIT 2024, Yerevan, Armenia</w:t>
            </w:r>
          </w:p>
          <w:p w14:paraId="1C006A55" w14:textId="77777777" w:rsidR="00CC7C64" w:rsidRDefault="00CC7C64">
            <w:pPr>
              <w:rPr>
                <w:rFonts w:ascii="Arial" w:eastAsia="Arial" w:hAnsi="Arial" w:cs="Arial"/>
              </w:rPr>
            </w:pPr>
          </w:p>
        </w:tc>
      </w:tr>
    </w:tbl>
    <w:p w14:paraId="1B5C556C" w14:textId="77777777" w:rsidR="00CC7C64" w:rsidRDefault="00CC7C64">
      <w:pPr>
        <w:spacing w:after="0" w:line="240" w:lineRule="auto"/>
        <w:rPr>
          <w:rFonts w:ascii="Arial" w:eastAsia="Arial" w:hAnsi="Arial" w:cs="Arial"/>
        </w:rPr>
      </w:pPr>
    </w:p>
    <w:p w14:paraId="4045CD73" w14:textId="77777777" w:rsidR="00CC7C64" w:rsidRDefault="00CC7C64">
      <w:pPr>
        <w:spacing w:after="0" w:line="240" w:lineRule="auto"/>
        <w:rPr>
          <w:rFonts w:ascii="Arial" w:eastAsia="Arial" w:hAnsi="Arial" w:cs="Arial"/>
        </w:rPr>
      </w:pPr>
    </w:p>
    <w:p w14:paraId="50E79DFA" w14:textId="77777777" w:rsidR="00CC7C64" w:rsidRDefault="00CC7C64">
      <w:pPr>
        <w:spacing w:after="0" w:line="240" w:lineRule="auto"/>
        <w:rPr>
          <w:rFonts w:ascii="Arial" w:eastAsia="Arial" w:hAnsi="Arial" w:cs="Arial"/>
        </w:rPr>
      </w:pPr>
    </w:p>
    <w:p w14:paraId="60A45A8F" w14:textId="77777777" w:rsidR="00CC7C64" w:rsidRDefault="00000000">
      <w:pPr>
        <w:spacing w:after="0" w:line="240" w:lineRule="auto"/>
        <w:rPr>
          <w:rFonts w:ascii="Arial" w:eastAsia="Arial" w:hAnsi="Arial" w:cs="Arial"/>
          <w:b/>
          <w:u w:val="single"/>
        </w:rPr>
      </w:pPr>
      <w:r>
        <w:rPr>
          <w:rFonts w:ascii="Arial" w:eastAsia="Arial" w:hAnsi="Arial" w:cs="Arial"/>
          <w:b/>
          <w:u w:val="single"/>
        </w:rPr>
        <w:t>Confidentiality</w:t>
      </w:r>
    </w:p>
    <w:p w14:paraId="1C32F884" w14:textId="77777777" w:rsidR="00CC7C64" w:rsidRDefault="00CC7C64">
      <w:pPr>
        <w:spacing w:after="0" w:line="240" w:lineRule="auto"/>
        <w:rPr>
          <w:rFonts w:ascii="Arial" w:eastAsia="Arial" w:hAnsi="Arial" w:cs="Arial"/>
        </w:rPr>
      </w:pPr>
    </w:p>
    <w:p w14:paraId="6A74AE40" w14:textId="77777777" w:rsidR="00CC7C64" w:rsidRDefault="00000000">
      <w:pPr>
        <w:spacing w:after="0" w:line="240" w:lineRule="auto"/>
        <w:rPr>
          <w:rFonts w:ascii="Arial" w:eastAsia="Arial" w:hAnsi="Arial" w:cs="Arial"/>
          <w:color w:val="101010"/>
          <w:highlight w:val="white"/>
        </w:rPr>
      </w:pPr>
      <w:r>
        <w:rPr>
          <w:rFonts w:ascii="Arial" w:eastAsia="Arial" w:hAnsi="Arial" w:cs="Arial"/>
          <w:color w:val="101010"/>
          <w:highlight w:val="white"/>
        </w:rPr>
        <w:t>Your application and information will be kept confidentially, used only for the purpose of the WITSA World Cup Tournament.</w:t>
      </w:r>
    </w:p>
    <w:p w14:paraId="194DC656" w14:textId="77777777" w:rsidR="00CC7C64" w:rsidRDefault="00CC7C64">
      <w:pPr>
        <w:spacing w:after="0" w:line="240" w:lineRule="auto"/>
        <w:rPr>
          <w:rFonts w:ascii="Arial" w:eastAsia="Arial" w:hAnsi="Arial" w:cs="Arial"/>
          <w:color w:val="101010"/>
          <w:highlight w:val="white"/>
        </w:rPr>
      </w:pPr>
    </w:p>
    <w:p w14:paraId="57BE9919" w14:textId="77777777" w:rsidR="00CC7C64" w:rsidRDefault="00CC7C64">
      <w:pPr>
        <w:spacing w:after="0" w:line="240" w:lineRule="auto"/>
        <w:rPr>
          <w:rFonts w:ascii="Arial" w:eastAsia="Arial" w:hAnsi="Arial" w:cs="Arial"/>
          <w:color w:val="101010"/>
          <w:highlight w:val="white"/>
        </w:rPr>
      </w:pPr>
    </w:p>
    <w:p w14:paraId="46043557" w14:textId="77777777" w:rsidR="00CC7C64" w:rsidRDefault="00000000">
      <w:pPr>
        <w:spacing w:after="0" w:line="240" w:lineRule="auto"/>
        <w:rPr>
          <w:rFonts w:ascii="Arial" w:eastAsia="Arial" w:hAnsi="Arial" w:cs="Arial"/>
          <w:color w:val="101010"/>
          <w:highlight w:val="white"/>
        </w:rPr>
      </w:pPr>
      <w:r>
        <w:br w:type="page"/>
      </w:r>
    </w:p>
    <w:p w14:paraId="2A7F1B9B" w14:textId="77777777" w:rsidR="00CC7C64" w:rsidRDefault="00CC7C64">
      <w:pPr>
        <w:spacing w:after="0" w:line="240" w:lineRule="auto"/>
        <w:rPr>
          <w:rFonts w:ascii="Arial" w:eastAsia="Arial" w:hAnsi="Arial" w:cs="Arial"/>
          <w:color w:val="101010"/>
          <w:highlight w:val="white"/>
        </w:rPr>
      </w:pPr>
    </w:p>
    <w:p w14:paraId="6952CA58" w14:textId="77777777" w:rsidR="00CC7C64" w:rsidRDefault="00000000">
      <w:pPr>
        <w:spacing w:after="0" w:line="240" w:lineRule="auto"/>
        <w:rPr>
          <w:rFonts w:ascii="Arial" w:eastAsia="Arial" w:hAnsi="Arial" w:cs="Arial"/>
          <w:b/>
          <w:color w:val="101010"/>
          <w:highlight w:val="white"/>
          <w:u w:val="single"/>
        </w:rPr>
      </w:pPr>
      <w:r>
        <w:rPr>
          <w:rFonts w:ascii="Arial" w:eastAsia="Arial" w:hAnsi="Arial" w:cs="Arial"/>
          <w:b/>
          <w:color w:val="101010"/>
          <w:highlight w:val="white"/>
          <w:u w:val="single"/>
        </w:rPr>
        <w:t>Logistics</w:t>
      </w:r>
    </w:p>
    <w:p w14:paraId="28298549" w14:textId="77777777" w:rsidR="00CC7C64" w:rsidRDefault="00CC7C64">
      <w:pPr>
        <w:spacing w:after="0" w:line="240" w:lineRule="auto"/>
        <w:rPr>
          <w:rFonts w:ascii="Arial" w:eastAsia="Arial" w:hAnsi="Arial" w:cs="Arial"/>
          <w:color w:val="101010"/>
          <w:highlight w:val="white"/>
        </w:rPr>
      </w:pPr>
    </w:p>
    <w:p w14:paraId="5BEB09E6" w14:textId="77777777" w:rsidR="00CC7C64" w:rsidRDefault="00000000">
      <w:pPr>
        <w:spacing w:after="0" w:line="240" w:lineRule="auto"/>
        <w:rPr>
          <w:rFonts w:ascii="Arial" w:eastAsia="Arial" w:hAnsi="Arial" w:cs="Arial"/>
          <w:color w:val="101010"/>
          <w:highlight w:val="white"/>
        </w:rPr>
      </w:pPr>
      <w:r>
        <w:rPr>
          <w:rFonts w:ascii="Arial" w:eastAsia="Arial" w:hAnsi="Arial" w:cs="Arial"/>
          <w:color w:val="101010"/>
          <w:highlight w:val="white"/>
        </w:rPr>
        <w:t>All Scaleups selected to compete in the Global Finals are to compete IN-PERSON and must cover their own travel and accommodation expenses – which may be sponsored or self-funded.</w:t>
      </w:r>
    </w:p>
    <w:p w14:paraId="62E7A83A" w14:textId="77777777" w:rsidR="00CC7C64" w:rsidRDefault="00CC7C64">
      <w:pPr>
        <w:spacing w:after="0" w:line="240" w:lineRule="auto"/>
        <w:rPr>
          <w:rFonts w:ascii="Arial" w:eastAsia="Arial" w:hAnsi="Arial" w:cs="Arial"/>
          <w:color w:val="101010"/>
          <w:highlight w:val="white"/>
        </w:rPr>
      </w:pPr>
    </w:p>
    <w:p w14:paraId="6C2D9395" w14:textId="77777777" w:rsidR="00CC7C64" w:rsidRDefault="00000000">
      <w:pPr>
        <w:spacing w:after="0" w:line="240" w:lineRule="auto"/>
        <w:rPr>
          <w:rFonts w:ascii="Arial" w:eastAsia="Arial" w:hAnsi="Arial" w:cs="Arial"/>
          <w:b/>
          <w:color w:val="101010"/>
          <w:highlight w:val="white"/>
          <w:u w:val="single"/>
        </w:rPr>
      </w:pPr>
      <w:r>
        <w:rPr>
          <w:rFonts w:ascii="Arial" w:eastAsia="Arial" w:hAnsi="Arial" w:cs="Arial"/>
          <w:b/>
          <w:color w:val="101010"/>
          <w:highlight w:val="white"/>
          <w:u w:val="single"/>
        </w:rPr>
        <w:t>Prizes</w:t>
      </w:r>
    </w:p>
    <w:p w14:paraId="2B83A527" w14:textId="77777777" w:rsidR="00CC7C64" w:rsidRDefault="00CC7C64">
      <w:pPr>
        <w:spacing w:after="0" w:line="240" w:lineRule="auto"/>
        <w:rPr>
          <w:rFonts w:ascii="Arial" w:eastAsia="Arial" w:hAnsi="Arial" w:cs="Arial"/>
          <w:color w:val="101010"/>
          <w:highlight w:val="white"/>
        </w:rPr>
      </w:pPr>
    </w:p>
    <w:p w14:paraId="7463A3E7" w14:textId="77777777" w:rsidR="00CC7C64" w:rsidRDefault="00000000">
      <w:pPr>
        <w:spacing w:after="0" w:line="240" w:lineRule="auto"/>
        <w:rPr>
          <w:rFonts w:ascii="Arial" w:eastAsia="Arial" w:hAnsi="Arial" w:cs="Arial"/>
          <w:color w:val="101010"/>
          <w:highlight w:val="white"/>
        </w:rPr>
      </w:pPr>
      <w:r>
        <w:rPr>
          <w:rFonts w:ascii="Arial" w:eastAsia="Arial" w:hAnsi="Arial" w:cs="Arial"/>
          <w:color w:val="101010"/>
          <w:highlight w:val="white"/>
        </w:rPr>
        <w:t>The Grand Prize Winner will receive a full year of tailored international growth support and services worth approximately USD$250,000* to scale up their business. This will include Media, access to a Global Network and Coaching to assist with growth and fundraising – all providing the winner(s) with the spotlight and valuable exposure required to propel the scaleup’s growth to the next level.</w:t>
      </w:r>
    </w:p>
    <w:p w14:paraId="2D93D3D9" w14:textId="77777777" w:rsidR="00CC7C64" w:rsidRDefault="00000000">
      <w:pPr>
        <w:spacing w:after="0" w:line="240" w:lineRule="auto"/>
        <w:rPr>
          <w:rFonts w:ascii="Arial" w:eastAsia="Arial" w:hAnsi="Arial" w:cs="Arial"/>
          <w:color w:val="101010"/>
          <w:highlight w:val="white"/>
        </w:rPr>
      </w:pPr>
      <w:r>
        <w:rPr>
          <w:rFonts w:ascii="Arial" w:eastAsia="Arial" w:hAnsi="Arial" w:cs="Arial"/>
          <w:color w:val="101010"/>
          <w:highlight w:val="white"/>
        </w:rPr>
        <w:t>* Subject to changes. A full list and total market value of prizes will be updated and shared throughout the duration of the tournament.</w:t>
      </w:r>
    </w:p>
    <w:p w14:paraId="1B32FA49" w14:textId="77777777" w:rsidR="00CC7C64" w:rsidRDefault="00CC7C64">
      <w:pPr>
        <w:spacing w:after="0" w:line="240" w:lineRule="auto"/>
        <w:rPr>
          <w:rFonts w:ascii="Arial" w:eastAsia="Arial" w:hAnsi="Arial" w:cs="Arial"/>
          <w:color w:val="101010"/>
          <w:highlight w:val="white"/>
        </w:rPr>
      </w:pPr>
    </w:p>
    <w:p w14:paraId="0DB87CD1" w14:textId="77777777" w:rsidR="00CC7C64" w:rsidRDefault="00CC7C64">
      <w:pPr>
        <w:spacing w:after="0" w:line="240" w:lineRule="auto"/>
        <w:rPr>
          <w:rFonts w:ascii="Arial" w:eastAsia="Arial" w:hAnsi="Arial" w:cs="Arial"/>
          <w:color w:val="101010"/>
          <w:highlight w:val="white"/>
        </w:rPr>
      </w:pPr>
    </w:p>
    <w:p w14:paraId="79991D89" w14:textId="77777777" w:rsidR="00CC7C64" w:rsidRDefault="00000000">
      <w:pPr>
        <w:spacing w:after="0" w:line="240" w:lineRule="auto"/>
        <w:rPr>
          <w:rFonts w:ascii="Arial" w:eastAsia="Arial" w:hAnsi="Arial" w:cs="Arial"/>
          <w:b/>
          <w:color w:val="101010"/>
          <w:highlight w:val="white"/>
          <w:u w:val="single"/>
        </w:rPr>
      </w:pPr>
      <w:r>
        <w:rPr>
          <w:rFonts w:ascii="Arial" w:eastAsia="Arial" w:hAnsi="Arial" w:cs="Arial"/>
          <w:b/>
          <w:color w:val="101010"/>
          <w:highlight w:val="white"/>
          <w:u w:val="single"/>
        </w:rPr>
        <w:t>Organizer</w:t>
      </w:r>
    </w:p>
    <w:p w14:paraId="020F1925" w14:textId="77777777" w:rsidR="00CC7C64" w:rsidRDefault="00CC7C64">
      <w:pPr>
        <w:spacing w:after="0" w:line="240" w:lineRule="auto"/>
        <w:rPr>
          <w:rFonts w:ascii="Arial" w:eastAsia="Arial" w:hAnsi="Arial" w:cs="Arial"/>
          <w:color w:val="101010"/>
          <w:highlight w:val="white"/>
        </w:rPr>
      </w:pPr>
    </w:p>
    <w:p w14:paraId="18444409" w14:textId="77777777" w:rsidR="00CC7C64" w:rsidRDefault="00000000">
      <w:pPr>
        <w:spacing w:after="0" w:line="240" w:lineRule="auto"/>
        <w:rPr>
          <w:rFonts w:ascii="Arial" w:eastAsia="Arial" w:hAnsi="Arial" w:cs="Arial"/>
        </w:rPr>
      </w:pPr>
      <w:r>
        <w:rPr>
          <w:rFonts w:ascii="Arial" w:eastAsia="Arial" w:hAnsi="Arial" w:cs="Arial"/>
        </w:rPr>
        <w:t>The WITSA World Cup is organized by the World Innovation, Technology and Services Alliance (WITSA) at the global level, working with select, participating Country Members as organizing competition at the National Level, responsible for coordinating applications, evaluation and selection of the scaleups that will compete in the WITSA World Cup Global Finals.</w:t>
      </w:r>
    </w:p>
    <w:p w14:paraId="0DF2CB77" w14:textId="77777777" w:rsidR="00CC7C64" w:rsidRDefault="00CC7C64">
      <w:pPr>
        <w:spacing w:after="0" w:line="240" w:lineRule="auto"/>
        <w:rPr>
          <w:rFonts w:ascii="Arial" w:eastAsia="Arial" w:hAnsi="Arial" w:cs="Arial"/>
        </w:rPr>
      </w:pPr>
    </w:p>
    <w:p w14:paraId="6678F592" w14:textId="77777777" w:rsidR="00CC7C64" w:rsidRDefault="00000000">
      <w:pPr>
        <w:spacing w:after="120" w:line="240" w:lineRule="auto"/>
        <w:rPr>
          <w:rFonts w:ascii="Arial" w:eastAsia="Arial" w:hAnsi="Arial" w:cs="Arial"/>
        </w:rPr>
      </w:pPr>
      <w:r>
        <w:rPr>
          <w:rFonts w:ascii="Arial" w:eastAsia="Arial" w:hAnsi="Arial" w:cs="Arial"/>
        </w:rPr>
        <w:t xml:space="preserve">For Additional Information, including Pitch Structure and Judging Criteria, please read the </w:t>
      </w:r>
      <w:hyperlink r:id="rId11">
        <w:r>
          <w:rPr>
            <w:rFonts w:ascii="Arial" w:eastAsia="Arial" w:hAnsi="Arial" w:cs="Arial"/>
            <w:color w:val="0563C1"/>
            <w:u w:val="single"/>
          </w:rPr>
          <w:t>WITSA World Cup General Information Kit</w:t>
        </w:r>
      </w:hyperlink>
      <w:r>
        <w:rPr>
          <w:rFonts w:ascii="Arial" w:eastAsia="Arial" w:hAnsi="Arial" w:cs="Arial"/>
        </w:rPr>
        <w:t>.</w:t>
      </w:r>
    </w:p>
    <w:sectPr w:rsidR="00CC7C64">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08F4B" w14:textId="77777777" w:rsidR="00E325A2" w:rsidRDefault="00E325A2">
      <w:pPr>
        <w:spacing w:after="0" w:line="240" w:lineRule="auto"/>
      </w:pPr>
      <w:r>
        <w:separator/>
      </w:r>
    </w:p>
  </w:endnote>
  <w:endnote w:type="continuationSeparator" w:id="0">
    <w:p w14:paraId="17230858" w14:textId="77777777" w:rsidR="00E325A2" w:rsidRDefault="00E3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DA622" w14:textId="77777777" w:rsidR="00CC7C64" w:rsidRDefault="00000000">
    <w:pPr>
      <w:pBdr>
        <w:top w:val="nil"/>
        <w:left w:val="nil"/>
        <w:bottom w:val="nil"/>
        <w:right w:val="nil"/>
        <w:between w:val="nil"/>
      </w:pBdr>
      <w:tabs>
        <w:tab w:val="center" w:pos="4680"/>
        <w:tab w:val="right" w:pos="9360"/>
      </w:tabs>
      <w:spacing w:after="0" w:line="240" w:lineRule="auto"/>
      <w:jc w:val="right"/>
      <w:rPr>
        <w:rFonts w:ascii="Aptos" w:eastAsia="Aptos" w:hAnsi="Aptos" w:cs="Aptos"/>
        <w:color w:val="0070C0"/>
      </w:rPr>
    </w:pPr>
    <w:r>
      <w:rPr>
        <w:rFonts w:ascii="Aptos" w:eastAsia="Aptos" w:hAnsi="Aptos" w:cs="Aptos"/>
        <w:color w:val="0070C0"/>
      </w:rPr>
      <w:fldChar w:fldCharType="begin"/>
    </w:r>
    <w:r>
      <w:rPr>
        <w:rFonts w:ascii="Aptos" w:eastAsia="Aptos" w:hAnsi="Aptos" w:cs="Aptos"/>
        <w:color w:val="0070C0"/>
      </w:rPr>
      <w:instrText>PAGE</w:instrText>
    </w:r>
    <w:r>
      <w:rPr>
        <w:rFonts w:ascii="Aptos" w:eastAsia="Aptos" w:hAnsi="Aptos" w:cs="Aptos"/>
        <w:color w:val="0070C0"/>
      </w:rPr>
      <w:fldChar w:fldCharType="separate"/>
    </w:r>
    <w:r w:rsidR="00E76C5F">
      <w:rPr>
        <w:rFonts w:ascii="Aptos" w:eastAsia="Aptos" w:hAnsi="Aptos" w:cs="Aptos"/>
        <w:noProof/>
        <w:color w:val="0070C0"/>
      </w:rPr>
      <w:t>1</w:t>
    </w:r>
    <w:r>
      <w:rPr>
        <w:rFonts w:ascii="Aptos" w:eastAsia="Aptos" w:hAnsi="Aptos" w:cs="Aptos"/>
        <w:color w:val="0070C0"/>
      </w:rPr>
      <w:fldChar w:fldCharType="end"/>
    </w:r>
    <w:r>
      <w:rPr>
        <w:rFonts w:ascii="Aptos" w:eastAsia="Aptos" w:hAnsi="Aptos" w:cs="Aptos"/>
        <w:color w:val="0070C0"/>
      </w:rPr>
      <w:t xml:space="preserve"> | WITSA World Cup 2024 Application</w:t>
    </w:r>
  </w:p>
  <w:p w14:paraId="3D2B08F8" w14:textId="77777777" w:rsidR="00CC7C64" w:rsidRDefault="00CC7C6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66615" w14:textId="77777777" w:rsidR="00E325A2" w:rsidRDefault="00E325A2">
      <w:pPr>
        <w:spacing w:after="0" w:line="240" w:lineRule="auto"/>
      </w:pPr>
      <w:r>
        <w:separator/>
      </w:r>
    </w:p>
  </w:footnote>
  <w:footnote w:type="continuationSeparator" w:id="0">
    <w:p w14:paraId="2EA81467" w14:textId="77777777" w:rsidR="00E325A2" w:rsidRDefault="00E3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62D65" w14:textId="77777777" w:rsidR="00CC7C64"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07DBDF1F" wp14:editId="190B66C1">
          <wp:extent cx="1432205" cy="758181"/>
          <wp:effectExtent l="0" t="0" r="0" b="0"/>
          <wp:docPr id="19032979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32205" cy="7581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9A6"/>
    <w:multiLevelType w:val="multilevel"/>
    <w:tmpl w:val="55DAEC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021065"/>
    <w:multiLevelType w:val="multilevel"/>
    <w:tmpl w:val="618A4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42261"/>
    <w:multiLevelType w:val="multilevel"/>
    <w:tmpl w:val="1214D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806929"/>
    <w:multiLevelType w:val="multilevel"/>
    <w:tmpl w:val="1214D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B11FD2"/>
    <w:multiLevelType w:val="multilevel"/>
    <w:tmpl w:val="1214D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757F3E"/>
    <w:multiLevelType w:val="multilevel"/>
    <w:tmpl w:val="A9BAC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5D15A0"/>
    <w:multiLevelType w:val="multilevel"/>
    <w:tmpl w:val="C0C6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801363F"/>
    <w:multiLevelType w:val="multilevel"/>
    <w:tmpl w:val="DC7405F4"/>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CAB6FB8"/>
    <w:multiLevelType w:val="multilevel"/>
    <w:tmpl w:val="64860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6110010">
    <w:abstractNumId w:val="1"/>
  </w:num>
  <w:num w:numId="2" w16cid:durableId="1389305804">
    <w:abstractNumId w:val="0"/>
  </w:num>
  <w:num w:numId="3" w16cid:durableId="1665205287">
    <w:abstractNumId w:val="8"/>
  </w:num>
  <w:num w:numId="4" w16cid:durableId="769423890">
    <w:abstractNumId w:val="5"/>
  </w:num>
  <w:num w:numId="5" w16cid:durableId="115178191">
    <w:abstractNumId w:val="3"/>
  </w:num>
  <w:num w:numId="6" w16cid:durableId="1501965383">
    <w:abstractNumId w:val="6"/>
  </w:num>
  <w:num w:numId="7" w16cid:durableId="1797521417">
    <w:abstractNumId w:val="4"/>
  </w:num>
  <w:num w:numId="8" w16cid:durableId="1348168397">
    <w:abstractNumId w:val="2"/>
  </w:num>
  <w:num w:numId="9" w16cid:durableId="90784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C64"/>
    <w:rsid w:val="003C5E8D"/>
    <w:rsid w:val="00574EE3"/>
    <w:rsid w:val="00974760"/>
    <w:rsid w:val="00BD76F3"/>
    <w:rsid w:val="00CC7C64"/>
    <w:rsid w:val="00E325A2"/>
    <w:rsid w:val="00E7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EB32"/>
  <w15:docId w15:val="{EC15DC72-B299-46B7-8FE0-2B6262D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6F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70054"/>
    <w:pPr>
      <w:ind w:left="720"/>
      <w:contextualSpacing/>
    </w:pPr>
  </w:style>
  <w:style w:type="character" w:styleId="Hyperlink">
    <w:name w:val="Hyperlink"/>
    <w:basedOn w:val="DefaultParagraphFont"/>
    <w:uiPriority w:val="99"/>
    <w:unhideWhenUsed/>
    <w:rsid w:val="001E14FA"/>
    <w:rPr>
      <w:color w:val="0563C1" w:themeColor="hyperlink"/>
      <w:u w:val="single"/>
    </w:rPr>
  </w:style>
  <w:style w:type="character" w:styleId="UnresolvedMention">
    <w:name w:val="Unresolved Mention"/>
    <w:basedOn w:val="DefaultParagraphFont"/>
    <w:uiPriority w:val="99"/>
    <w:semiHidden/>
    <w:unhideWhenUsed/>
    <w:rsid w:val="001E14FA"/>
    <w:rPr>
      <w:color w:val="605E5C"/>
      <w:shd w:val="clear" w:color="auto" w:fill="E1DFDD"/>
    </w:rPr>
  </w:style>
  <w:style w:type="paragraph" w:styleId="NormalWeb">
    <w:name w:val="Normal (Web)"/>
    <w:basedOn w:val="Normal"/>
    <w:uiPriority w:val="99"/>
    <w:semiHidden/>
    <w:unhideWhenUsed/>
    <w:rsid w:val="004B0A8C"/>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A14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0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EBC"/>
  </w:style>
  <w:style w:type="paragraph" w:styleId="Footer">
    <w:name w:val="footer"/>
    <w:basedOn w:val="Normal"/>
    <w:link w:val="FooterChar"/>
    <w:uiPriority w:val="99"/>
    <w:unhideWhenUsed/>
    <w:rsid w:val="00900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EB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presentation/d/1k4hyI3lKSqTmEbNjbvpb19qVByXu7apvIq7LMzLDlww/edit?usp=sharing" TargetMode="External"/><Relationship Id="rId5" Type="http://schemas.openxmlformats.org/officeDocument/2006/relationships/webSettings" Target="webSettings.xml"/><Relationship Id="rId10" Type="http://schemas.openxmlformats.org/officeDocument/2006/relationships/hyperlink" Target="https://drive.google.com/file/d/1Gjv0paSkJJvbUH5CAIPjFEK6zXoBWOBB/view?usp=drive_lin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4eXT57Cl6Y2JzdSVWau+V25IWw==">CgMxLjA4AHIhMTkxUFotbllBbThjTktDN3RjdkVONkc5Q2hRQkZmNzlk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Barner</dc:creator>
  <cp:lastModifiedBy>Alin Nita</cp:lastModifiedBy>
  <cp:revision>2</cp:revision>
  <dcterms:created xsi:type="dcterms:W3CDTF">2024-05-24T11:03:00Z</dcterms:created>
  <dcterms:modified xsi:type="dcterms:W3CDTF">2024-05-24T11:03:00Z</dcterms:modified>
</cp:coreProperties>
</file>